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F00E92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30.06.2016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F00E92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26227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300C0E" w:rsidRDefault="00485A8C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06526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Тужинской районной Думы от </w:t>
      </w:r>
      <w:r w:rsidR="008459A7">
        <w:rPr>
          <w:rStyle w:val="FontStyle13"/>
          <w:sz w:val="28"/>
          <w:szCs w:val="28"/>
        </w:rPr>
        <w:t>2</w:t>
      </w:r>
      <w:r w:rsidR="00065260">
        <w:rPr>
          <w:rStyle w:val="FontStyle13"/>
          <w:sz w:val="28"/>
          <w:szCs w:val="28"/>
        </w:rPr>
        <w:t>4</w:t>
      </w:r>
      <w:r w:rsidR="008459A7">
        <w:rPr>
          <w:rStyle w:val="FontStyle13"/>
          <w:sz w:val="28"/>
          <w:szCs w:val="28"/>
        </w:rPr>
        <w:t>.</w:t>
      </w:r>
      <w:r w:rsidR="00065260">
        <w:rPr>
          <w:rStyle w:val="FontStyle13"/>
          <w:sz w:val="28"/>
          <w:szCs w:val="28"/>
        </w:rPr>
        <w:t>06</w:t>
      </w:r>
      <w:r w:rsidR="008459A7">
        <w:rPr>
          <w:rStyle w:val="FontStyle13"/>
          <w:sz w:val="28"/>
          <w:szCs w:val="28"/>
        </w:rPr>
        <w:t>.201</w:t>
      </w:r>
      <w:r w:rsidR="00065260">
        <w:rPr>
          <w:rStyle w:val="FontStyle13"/>
          <w:sz w:val="28"/>
          <w:szCs w:val="28"/>
        </w:rPr>
        <w:t>6</w:t>
      </w:r>
      <w:r w:rsidR="008459A7">
        <w:rPr>
          <w:rStyle w:val="FontStyle13"/>
          <w:sz w:val="28"/>
          <w:szCs w:val="28"/>
        </w:rPr>
        <w:t xml:space="preserve"> №</w:t>
      </w:r>
      <w:r w:rsidR="00065260">
        <w:rPr>
          <w:rStyle w:val="FontStyle13"/>
          <w:sz w:val="28"/>
          <w:szCs w:val="28"/>
        </w:rPr>
        <w:t>74</w:t>
      </w:r>
      <w:r w:rsidR="008459A7">
        <w:rPr>
          <w:rStyle w:val="FontStyle13"/>
          <w:sz w:val="28"/>
          <w:szCs w:val="28"/>
        </w:rPr>
        <w:t>/</w:t>
      </w:r>
      <w:r w:rsidR="00C345A3">
        <w:rPr>
          <w:rStyle w:val="FontStyle13"/>
          <w:sz w:val="28"/>
          <w:szCs w:val="28"/>
        </w:rPr>
        <w:t>4</w:t>
      </w:r>
      <w:r w:rsidR="00065260">
        <w:rPr>
          <w:rStyle w:val="FontStyle13"/>
          <w:sz w:val="28"/>
          <w:szCs w:val="28"/>
        </w:rPr>
        <w:t>68</w:t>
      </w:r>
      <w:r w:rsidR="008459A7">
        <w:rPr>
          <w:rStyle w:val="FontStyle13"/>
          <w:sz w:val="28"/>
          <w:szCs w:val="28"/>
        </w:rPr>
        <w:t xml:space="preserve"> «О внесении изменений в решение Тужинской районной Думы от </w:t>
      </w:r>
      <w:r w:rsidR="00DF1305">
        <w:rPr>
          <w:rStyle w:val="FontStyle13"/>
          <w:sz w:val="28"/>
          <w:szCs w:val="28"/>
        </w:rPr>
        <w:t>1</w:t>
      </w:r>
      <w:r w:rsidR="00065260">
        <w:rPr>
          <w:rStyle w:val="FontStyle13"/>
          <w:sz w:val="28"/>
          <w:szCs w:val="28"/>
        </w:rPr>
        <w:t>4</w:t>
      </w:r>
      <w:r w:rsidR="008459A7">
        <w:rPr>
          <w:rStyle w:val="FontStyle13"/>
          <w:sz w:val="28"/>
          <w:szCs w:val="28"/>
        </w:rPr>
        <w:t>.12.201</w:t>
      </w:r>
      <w:r w:rsidR="00065260">
        <w:rPr>
          <w:rStyle w:val="FontStyle13"/>
          <w:sz w:val="28"/>
          <w:szCs w:val="28"/>
        </w:rPr>
        <w:t>5</w:t>
      </w:r>
      <w:r w:rsidR="008459A7">
        <w:rPr>
          <w:rStyle w:val="FontStyle13"/>
          <w:sz w:val="28"/>
          <w:szCs w:val="28"/>
        </w:rPr>
        <w:t xml:space="preserve"> №</w:t>
      </w:r>
      <w:r w:rsidR="00065260">
        <w:rPr>
          <w:rStyle w:val="FontStyle13"/>
          <w:sz w:val="28"/>
          <w:szCs w:val="28"/>
        </w:rPr>
        <w:t>67</w:t>
      </w:r>
      <w:r w:rsidR="008459A7">
        <w:rPr>
          <w:rStyle w:val="FontStyle13"/>
          <w:sz w:val="28"/>
          <w:szCs w:val="28"/>
        </w:rPr>
        <w:t>/</w:t>
      </w:r>
      <w:r w:rsidR="00065260">
        <w:rPr>
          <w:rStyle w:val="FontStyle13"/>
          <w:sz w:val="28"/>
          <w:szCs w:val="28"/>
        </w:rPr>
        <w:t xml:space="preserve">408» </w:t>
      </w:r>
      <w:r>
        <w:rPr>
          <w:rStyle w:val="FontStyle13"/>
          <w:sz w:val="28"/>
          <w:szCs w:val="28"/>
        </w:rPr>
        <w:t xml:space="preserve">и </w:t>
      </w:r>
      <w:r w:rsidR="00065260">
        <w:rPr>
          <w:rStyle w:val="FontStyle13"/>
          <w:sz w:val="28"/>
          <w:szCs w:val="28"/>
        </w:rPr>
        <w:t xml:space="preserve">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AB36A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2014-2018 годы» (</w:t>
      </w:r>
      <w:r w:rsidR="00065260">
        <w:rPr>
          <w:rStyle w:val="FontStyle13"/>
          <w:sz w:val="28"/>
          <w:szCs w:val="28"/>
        </w:rPr>
        <w:t xml:space="preserve">с изменениями, внесенными постановлением администрации Тужинского муниципального района от 09.10.2014 № 436, </w:t>
      </w:r>
      <w:r w:rsidR="00065260" w:rsidRPr="00BD5F65">
        <w:rPr>
          <w:rStyle w:val="FontStyle13"/>
          <w:sz w:val="28"/>
          <w:szCs w:val="28"/>
        </w:rPr>
        <w:t>от 12.01.2015 №13</w:t>
      </w:r>
      <w:r w:rsidR="00065260">
        <w:rPr>
          <w:rStyle w:val="FontStyle13"/>
          <w:sz w:val="28"/>
          <w:szCs w:val="28"/>
        </w:rPr>
        <w:t xml:space="preserve">, от </w:t>
      </w:r>
      <w:r w:rsidR="00065260">
        <w:rPr>
          <w:rFonts w:ascii="Times New Roman" w:hAnsi="Times New Roman"/>
          <w:sz w:val="28"/>
          <w:szCs w:val="28"/>
        </w:rPr>
        <w:t>15.12.2015 №436, от 30.12.2015 №493, от 16.05.2016 №144</w:t>
      </w:r>
      <w:r w:rsidR="00296F3C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>,</w:t>
      </w:r>
      <w:r w:rsidR="00296F3C">
        <w:rPr>
          <w:rStyle w:val="FontStyle13"/>
          <w:sz w:val="28"/>
          <w:szCs w:val="28"/>
        </w:rPr>
        <w:t xml:space="preserve">  утвердив изменения в </w:t>
      </w:r>
      <w:r>
        <w:rPr>
          <w:rStyle w:val="FontStyle13"/>
          <w:sz w:val="28"/>
          <w:szCs w:val="28"/>
        </w:rPr>
        <w:t>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>
        <w:rPr>
          <w:rStyle w:val="FontStyle13"/>
          <w:sz w:val="28"/>
          <w:szCs w:val="28"/>
        </w:rPr>
        <w:t>» на 2014-2018 годы согласно приложению.</w:t>
      </w:r>
    </w:p>
    <w:p w:rsidR="00AB36A0" w:rsidRDefault="00296F3C" w:rsidP="00AB36A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296F3C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 xml:space="preserve">.  Контроль за исполнением постановления возложить на заместителя главы администрации Тужинского муниципального района по социальным вопросам.       </w:t>
      </w:r>
    </w:p>
    <w:p w:rsidR="00065260" w:rsidRDefault="00065260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CF3C9C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="00300C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00C0E">
        <w:rPr>
          <w:rFonts w:ascii="Times New Roman" w:hAnsi="Times New Roman"/>
          <w:sz w:val="28"/>
          <w:szCs w:val="28"/>
        </w:rPr>
        <w:t xml:space="preserve"> администрации </w:t>
      </w:r>
      <w:r w:rsidR="00300C0E">
        <w:rPr>
          <w:rFonts w:ascii="Times New Roman" w:hAnsi="Times New Roman"/>
          <w:sz w:val="28"/>
          <w:szCs w:val="28"/>
        </w:rPr>
        <w:tab/>
      </w:r>
    </w:p>
    <w:p w:rsidR="006306E6" w:rsidRPr="00F00E92" w:rsidRDefault="00300C0E" w:rsidP="00F00E92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Тужинского муниципального района                       </w:t>
      </w:r>
      <w:r w:rsidR="00CF3C9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CF3C9C">
        <w:rPr>
          <w:rFonts w:ascii="Times New Roman" w:hAnsi="Times New Roman"/>
          <w:sz w:val="28"/>
          <w:szCs w:val="28"/>
        </w:rPr>
        <w:t>Бледных</w:t>
      </w:r>
    </w:p>
    <w:p w:rsidR="006306E6" w:rsidRDefault="006306E6" w:rsidP="006306E6"/>
    <w:p w:rsidR="00711AF2" w:rsidRDefault="00711AF2" w:rsidP="00711AF2">
      <w:pPr>
        <w:pStyle w:val="1"/>
        <w:spacing w:after="0" w:line="240" w:lineRule="auto"/>
        <w:ind w:left="4956"/>
        <w:jc w:val="left"/>
      </w:pPr>
      <w:r>
        <w:t xml:space="preserve">    УТВЕРЖДЕНЫ</w:t>
      </w:r>
    </w:p>
    <w:p w:rsidR="00711AF2" w:rsidRPr="00711AF2" w:rsidRDefault="00711AF2" w:rsidP="00711AF2"/>
    <w:p w:rsidR="00AB36A0" w:rsidRDefault="00AB36A0" w:rsidP="00AB36A0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</w:t>
      </w:r>
      <w:r w:rsidR="00F00E92">
        <w:rPr>
          <w:rFonts w:ascii="Times New Roman" w:hAnsi="Times New Roman"/>
          <w:sz w:val="28"/>
        </w:rPr>
        <w:t>30.06.2016</w:t>
      </w:r>
      <w:r>
        <w:rPr>
          <w:rFonts w:ascii="Times New Roman" w:hAnsi="Times New Roman"/>
          <w:sz w:val="28"/>
        </w:rPr>
        <w:t>__ №___</w:t>
      </w:r>
      <w:r w:rsidR="00F00E92">
        <w:rPr>
          <w:rFonts w:ascii="Times New Roman" w:hAnsi="Times New Roman"/>
          <w:sz w:val="28"/>
        </w:rPr>
        <w:t>207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2014-2018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>
        <w:t>«Объёмы ассигновани</w:t>
      </w:r>
      <w:r w:rsidR="008459A7">
        <w:t>й</w:t>
      </w:r>
      <w:r>
        <w:t xml:space="preserve"> муниципальной программы</w:t>
      </w:r>
      <w:r w:rsidR="00866446">
        <w:t>»</w:t>
      </w:r>
      <w:r>
        <w:t xml:space="preserve"> </w:t>
      </w:r>
      <w:r>
        <w:rPr>
          <w:rStyle w:val="FontStyle13"/>
          <w:sz w:val="28"/>
          <w:szCs w:val="28"/>
        </w:rPr>
        <w:t>изложить в новой редакции следующего содержания:</w:t>
      </w:r>
    </w:p>
    <w:p w:rsidR="00866446" w:rsidRDefault="00866446" w:rsidP="00866446">
      <w:pPr>
        <w:pStyle w:val="20"/>
        <w:ind w:left="567"/>
        <w:rPr>
          <w:rStyle w:val="FontStyle13"/>
          <w:sz w:val="28"/>
          <w:szCs w:val="28"/>
        </w:rPr>
      </w:pP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AB36A0" w:rsidTr="00866446">
        <w:tc>
          <w:tcPr>
            <w:tcW w:w="2790" w:type="dxa"/>
          </w:tcPr>
          <w:p w:rsidR="00AB36A0" w:rsidRDefault="00AB36A0" w:rsidP="00866446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CF3C9C" w:rsidRPr="00CF3C9C" w:rsidRDefault="00CF3C9C" w:rsidP="00CF3C9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3C9C">
              <w:rPr>
                <w:rFonts w:ascii="Times New Roman" w:hAnsi="Times New Roman"/>
                <w:sz w:val="28"/>
                <w:szCs w:val="24"/>
              </w:rPr>
              <w:t>Объём ассигнований на реализацию муниципальной программы составляет 39</w:t>
            </w:r>
            <w:r>
              <w:rPr>
                <w:rFonts w:ascii="Times New Roman" w:hAnsi="Times New Roman"/>
                <w:sz w:val="28"/>
                <w:szCs w:val="24"/>
              </w:rPr>
              <w:t>50</w:t>
            </w:r>
            <w:r w:rsidRPr="00CF3C9C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CF3C9C"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числе:</w:t>
            </w:r>
          </w:p>
          <w:p w:rsidR="00CF3C9C" w:rsidRPr="00CF3C9C" w:rsidRDefault="00CF3C9C" w:rsidP="00CF3C9C">
            <w:pPr>
              <w:pStyle w:val="a7"/>
              <w:spacing w:after="0"/>
              <w:ind w:left="4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3C9C">
              <w:rPr>
                <w:rFonts w:ascii="Times New Roman" w:hAnsi="Times New Roman"/>
                <w:sz w:val="28"/>
                <w:szCs w:val="24"/>
              </w:rPr>
              <w:t>средства областного бюджета – 1384,5 тыс. рублей</w:t>
            </w:r>
          </w:p>
          <w:p w:rsidR="00CF3C9C" w:rsidRPr="00CF3C9C" w:rsidRDefault="00CF3C9C" w:rsidP="00CF3C9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3C9C">
              <w:rPr>
                <w:rFonts w:ascii="Times New Roman" w:hAnsi="Times New Roman"/>
                <w:sz w:val="28"/>
                <w:szCs w:val="24"/>
              </w:rPr>
              <w:t>средства местного бюджета –  256</w:t>
            </w: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CF3C9C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CF3C9C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CF3C9C" w:rsidRPr="00CF3C9C" w:rsidRDefault="00CF3C9C" w:rsidP="00CF3C9C">
            <w:pPr>
              <w:pStyle w:val="a7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3C9C">
              <w:rPr>
                <w:rFonts w:ascii="Times New Roman" w:hAnsi="Times New Roman"/>
                <w:sz w:val="28"/>
                <w:szCs w:val="24"/>
              </w:rPr>
              <w:t xml:space="preserve">           2014г. –794,6 тыс. рублей</w:t>
            </w:r>
          </w:p>
          <w:p w:rsidR="00CF3C9C" w:rsidRPr="00CF3C9C" w:rsidRDefault="00CF3C9C" w:rsidP="00CF3C9C">
            <w:pPr>
              <w:pStyle w:val="a7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3C9C">
              <w:rPr>
                <w:rFonts w:ascii="Times New Roman" w:hAnsi="Times New Roman"/>
                <w:sz w:val="28"/>
                <w:szCs w:val="24"/>
              </w:rPr>
              <w:t xml:space="preserve">           2015г. – 837,7 тыс. рублей</w:t>
            </w:r>
          </w:p>
          <w:p w:rsidR="00CF3C9C" w:rsidRPr="00CF3C9C" w:rsidRDefault="00CF3C9C" w:rsidP="00CF3C9C">
            <w:pPr>
              <w:pStyle w:val="a7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3C9C">
              <w:rPr>
                <w:rFonts w:ascii="Times New Roman" w:hAnsi="Times New Roman"/>
                <w:sz w:val="28"/>
                <w:szCs w:val="24"/>
              </w:rPr>
              <w:t xml:space="preserve">           2016г. – 83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CF3C9C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>9</w:t>
            </w:r>
            <w:r w:rsidRPr="00CF3C9C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CF3C9C" w:rsidRPr="00CF3C9C" w:rsidRDefault="00CF3C9C" w:rsidP="00CF3C9C">
            <w:pPr>
              <w:pStyle w:val="a7"/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3C9C">
              <w:rPr>
                <w:rFonts w:ascii="Times New Roman" w:hAnsi="Times New Roman"/>
                <w:sz w:val="28"/>
                <w:szCs w:val="24"/>
              </w:rPr>
              <w:t xml:space="preserve">           2017г. – 741,2 тыс. рублей</w:t>
            </w:r>
          </w:p>
          <w:p w:rsidR="00AB36A0" w:rsidRDefault="00CF3C9C" w:rsidP="00CF3C9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3C9C">
              <w:rPr>
                <w:rFonts w:ascii="Times New Roman" w:hAnsi="Times New Roman"/>
                <w:sz w:val="28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</w:t>
            </w:r>
            <w:r w:rsidRPr="00CF3C9C">
              <w:rPr>
                <w:rFonts w:ascii="Times New Roman" w:hAnsi="Times New Roman"/>
                <w:sz w:val="28"/>
                <w:szCs w:val="24"/>
              </w:rPr>
              <w:t>2018г. – 741,2 тыс. рублей.</w:t>
            </w:r>
          </w:p>
        </w:tc>
      </w:tr>
    </w:tbl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866446" w:rsidRDefault="00866446" w:rsidP="00021230">
      <w:pPr>
        <w:pStyle w:val="20"/>
        <w:ind w:left="0" w:firstLine="567"/>
      </w:pPr>
    </w:p>
    <w:p w:rsidR="00AB36A0" w:rsidRDefault="00AB36A0" w:rsidP="00021230">
      <w:pPr>
        <w:pStyle w:val="20"/>
        <w:ind w:left="0" w:firstLine="567"/>
      </w:pPr>
      <w:r>
        <w:t>2. Раздел 5 «Ресурсное обеспечение Муниципальной программы</w:t>
      </w:r>
      <w:r w:rsidR="000F4284">
        <w:t>»</w:t>
      </w:r>
      <w:r>
        <w:t xml:space="preserve"> изложить в новой редакции:</w:t>
      </w:r>
    </w:p>
    <w:p w:rsidR="00AB36A0" w:rsidRDefault="000F4284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Муниципальной программы в 2014-2018 годах составляет </w:t>
      </w:r>
      <w:r w:rsidR="00CF3C9C" w:rsidRPr="00CF3C9C">
        <w:rPr>
          <w:rFonts w:ascii="Times New Roman" w:hAnsi="Times New Roman"/>
          <w:sz w:val="28"/>
          <w:szCs w:val="24"/>
        </w:rPr>
        <w:t>39</w:t>
      </w:r>
      <w:r w:rsidR="00CF3C9C">
        <w:rPr>
          <w:rFonts w:ascii="Times New Roman" w:hAnsi="Times New Roman"/>
          <w:sz w:val="28"/>
          <w:szCs w:val="24"/>
        </w:rPr>
        <w:t>50</w:t>
      </w:r>
      <w:r w:rsidR="00CF3C9C" w:rsidRPr="00CF3C9C">
        <w:rPr>
          <w:rFonts w:ascii="Times New Roman" w:hAnsi="Times New Roman"/>
          <w:sz w:val="28"/>
          <w:szCs w:val="24"/>
        </w:rPr>
        <w:t>,</w:t>
      </w:r>
      <w:r w:rsidR="00CF3C9C">
        <w:rPr>
          <w:rFonts w:ascii="Times New Roman" w:hAnsi="Times New Roman"/>
          <w:sz w:val="28"/>
          <w:szCs w:val="24"/>
        </w:rPr>
        <w:t>6</w:t>
      </w:r>
      <w:r w:rsidR="00CF3C9C" w:rsidRPr="00CF3C9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–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CF3C9C" w:rsidRPr="00CF3C9C">
        <w:rPr>
          <w:rFonts w:ascii="Times New Roman" w:hAnsi="Times New Roman"/>
          <w:sz w:val="28"/>
          <w:szCs w:val="24"/>
        </w:rPr>
        <w:t xml:space="preserve">1384,5 </w:t>
      </w:r>
      <w:r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бюджета муниципального образования </w:t>
      </w:r>
      <w:r w:rsidR="00CF3C9C" w:rsidRPr="00CF3C9C">
        <w:rPr>
          <w:rFonts w:ascii="Times New Roman" w:hAnsi="Times New Roman"/>
          <w:sz w:val="28"/>
          <w:szCs w:val="24"/>
        </w:rPr>
        <w:t>256</w:t>
      </w:r>
      <w:r w:rsidR="00CF3C9C">
        <w:rPr>
          <w:rFonts w:ascii="Times New Roman" w:hAnsi="Times New Roman"/>
          <w:sz w:val="28"/>
          <w:szCs w:val="24"/>
        </w:rPr>
        <w:t>6</w:t>
      </w:r>
      <w:r w:rsidR="00CF3C9C" w:rsidRPr="00CF3C9C">
        <w:rPr>
          <w:rFonts w:ascii="Times New Roman" w:hAnsi="Times New Roman"/>
          <w:sz w:val="28"/>
          <w:szCs w:val="24"/>
        </w:rPr>
        <w:t>,</w:t>
      </w:r>
      <w:r w:rsidR="00CF3C9C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внебюджетных источников -.</w:t>
      </w: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  <w:r w:rsidR="00124E36">
        <w:rPr>
          <w:rFonts w:ascii="Times New Roman" w:hAnsi="Times New Roman" w:cs="Times New Roman"/>
          <w:sz w:val="28"/>
          <w:szCs w:val="24"/>
        </w:rPr>
        <w:t>»</w:t>
      </w:r>
    </w:p>
    <w:p w:rsidR="00AB36A0" w:rsidRPr="00021230" w:rsidRDefault="00AB36A0" w:rsidP="0069018F">
      <w:pPr>
        <w:pStyle w:val="Style7"/>
        <w:widowControl/>
        <w:numPr>
          <w:ilvl w:val="0"/>
          <w:numId w:val="12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21230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 w:rsidRPr="00021230">
        <w:rPr>
          <w:rFonts w:ascii="Times New Roman" w:hAnsi="Times New Roman"/>
          <w:sz w:val="28"/>
          <w:szCs w:val="28"/>
        </w:rPr>
        <w:t>льной программы за счёт средств</w:t>
      </w:r>
      <w:r w:rsidR="00021230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 xml:space="preserve">бюджета муниципального района (приложение №2 к муниципальной программе) изложить в новой редакции </w:t>
      </w:r>
      <w:r w:rsidR="00711AF2" w:rsidRPr="00021230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3B6467" w:rsidP="0069018F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3B6467">
        <w:rPr>
          <w:rFonts w:ascii="Times New Roman" w:hAnsi="Times New Roman"/>
          <w:sz w:val="28"/>
          <w:szCs w:val="28"/>
        </w:rPr>
        <w:t>4.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711AF2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065260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AB36A0" w:rsidRPr="00503CDD" w:rsidRDefault="00503CDD" w:rsidP="00503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p w:rsidR="009A225F" w:rsidRDefault="009A225F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pPr w:leftFromText="180" w:rightFromText="180" w:vertAnchor="text" w:horzAnchor="margin" w:tblpXSpec="center" w:tblpY="149"/>
        <w:tblW w:w="1382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</w:tblGrid>
      <w:tr w:rsidR="00124E36" w:rsidRPr="00124E36" w:rsidTr="00AC7DDF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           Расходы по годам (тыс. рублей)                          </w:t>
            </w:r>
          </w:p>
        </w:tc>
      </w:tr>
      <w:tr w:rsidR="00124E36" w:rsidRPr="00124E36" w:rsidTr="00AC7DDF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24E36" w:rsidRPr="00124E36" w:rsidTr="00AC7DDF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2014-2018 годы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598</w:t>
            </w: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482,2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482,2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256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124E36" w:rsidRPr="00124E36" w:rsidTr="00AC7DDF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427,4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358,2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358,2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4E36" w:rsidRPr="00124E36" w:rsidTr="00AC7DDF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E36" w:rsidRPr="00124E36" w:rsidTr="00AC7DDF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</w:tr>
      <w:tr w:rsidR="00124E36" w:rsidRPr="00124E36" w:rsidTr="00AC7DDF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342,9</w:t>
            </w:r>
          </w:p>
        </w:tc>
      </w:tr>
      <w:tr w:rsidR="00124E36" w:rsidRPr="00124E36" w:rsidTr="00AC7DDF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124E36" w:rsidRPr="00124E36" w:rsidTr="00AC7DDF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229,1</w:t>
            </w:r>
          </w:p>
        </w:tc>
      </w:tr>
      <w:tr w:rsidR="00124E36" w:rsidRPr="00124E36" w:rsidTr="00AC7DDF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124E36" w:rsidRPr="00124E36" w:rsidTr="00AC7DDF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4E36" w:rsidRPr="00124E36" w:rsidTr="00AC7DDF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342,9</w:t>
            </w:r>
          </w:p>
        </w:tc>
      </w:tr>
      <w:tr w:rsidR="00124E36" w:rsidRPr="00124E36" w:rsidTr="00AC7DDF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МКОУСОШ с УИОП пгт Тужа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29,7</w:t>
            </w: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34,9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196,6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36" w:rsidRPr="00124E36" w:rsidRDefault="00124E3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126,9</w:t>
            </w:r>
          </w:p>
        </w:tc>
      </w:tr>
      <w:tr w:rsidR="00124E36" w:rsidRPr="00124E36" w:rsidTr="00AC7DDF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E36" w:rsidRPr="00124E36" w:rsidTr="00AC7DDF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E36" w:rsidRPr="00124E36" w:rsidTr="00AC7DDF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E36" w:rsidRPr="00124E36" w:rsidTr="00AC7DDF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E36" w:rsidRPr="00124E36" w:rsidTr="00AC7DDF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E36" w:rsidRPr="00124E36" w:rsidTr="00AC7DDF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E36" w:rsidRPr="00124E36" w:rsidRDefault="00124E3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965" w:rsidRDefault="00156965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503CDD" w:rsidRDefault="00503CDD" w:rsidP="00503CDD">
      <w:pPr>
        <w:pStyle w:val="a7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Приложение № 2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979"/>
        <w:gridCol w:w="2549"/>
        <w:gridCol w:w="993"/>
        <w:gridCol w:w="992"/>
        <w:gridCol w:w="992"/>
        <w:gridCol w:w="993"/>
        <w:gridCol w:w="993"/>
        <w:gridCol w:w="992"/>
        <w:gridCol w:w="56"/>
        <w:gridCol w:w="87"/>
      </w:tblGrid>
      <w:tr w:rsidR="00AC7DDF" w:rsidRPr="00AC7DDF" w:rsidTr="00AC7DDF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муни-ципальной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AC7DDF" w:rsidRPr="00AC7DDF" w:rsidTr="00AC7DDF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2014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2017 год 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C7DDF" w:rsidRPr="00AC7DDF" w:rsidTr="00AC7DDF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2014-2018 годы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794,6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837,7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83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741,2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741,2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39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AC7DDF" w:rsidRPr="00AC7DDF" w:rsidTr="00AC7DDF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DDF" w:rsidRPr="00AC7DDF" w:rsidTr="00AC7DDF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237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259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259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1384,5</w:t>
            </w:r>
          </w:p>
        </w:tc>
      </w:tr>
      <w:tr w:rsidR="00AC7DDF" w:rsidRPr="00AC7DDF" w:rsidTr="00AC7DD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124E36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124E36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124E36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598</w:t>
            </w: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124E36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482,2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124E36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482,2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124E36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256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AC7DDF" w:rsidRPr="00AC7DDF" w:rsidTr="00AC7DDF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DDF" w:rsidRPr="00AC7DDF" w:rsidTr="00AC7DD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AC7DDF" w:rsidRPr="00AC7DDF" w:rsidTr="00AC7DDF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DDF" w:rsidRPr="00AC7DDF" w:rsidTr="00AC7DDF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DDF" w:rsidRPr="00AC7DDF" w:rsidTr="00AC7DD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AC7DDF" w:rsidRPr="00AC7DDF" w:rsidTr="00AC7DDF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DDF" w:rsidRPr="00AC7DDF" w:rsidTr="00AC7DDF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внедрения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564,2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564,2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8B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="008B30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3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DDF" w:rsidRPr="00AC7DDF" w:rsidTr="00AC7DDF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DDF" w:rsidRPr="00AC7DDF" w:rsidTr="00AC7DDF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259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1384,5</w:t>
            </w:r>
          </w:p>
        </w:tc>
      </w:tr>
      <w:tr w:rsidR="00AC7DDF" w:rsidRPr="00AC7DDF" w:rsidTr="00AC7DDF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124E36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124E36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124E36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124E36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124E36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124E36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7DDF" w:rsidRPr="00AC7DDF" w:rsidTr="00AC7DDF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DDF" w:rsidRPr="00AC7DDF" w:rsidTr="00AC7DDF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342,9</w:t>
            </w:r>
          </w:p>
        </w:tc>
      </w:tr>
      <w:tr w:rsidR="00AC7DDF" w:rsidRPr="00AC7DDF" w:rsidTr="00AC7DD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DDF" w:rsidRPr="00AC7DDF" w:rsidTr="00AC7DD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DDF" w:rsidRPr="00AC7DDF" w:rsidTr="00AC7DD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342,9</w:t>
            </w:r>
          </w:p>
        </w:tc>
      </w:tr>
      <w:tr w:rsidR="00AC7DDF" w:rsidRPr="00AC7DDF" w:rsidTr="00AC7DDF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DDF" w:rsidRPr="00AC7DDF" w:rsidTr="00AC7DDF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детьми, педагогами, участие в областном конкурсе  </w:t>
            </w:r>
          </w:p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конфессиями.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196,6</w:t>
            </w:r>
          </w:p>
        </w:tc>
      </w:tr>
      <w:tr w:rsidR="00AC7DDF" w:rsidRPr="00AC7DDF" w:rsidTr="00AC7DDF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DDF" w:rsidRPr="00AC7DDF" w:rsidTr="00AC7DDF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DDF" w:rsidRPr="00AC7DDF" w:rsidTr="00AC7DDF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196,6</w:t>
            </w:r>
          </w:p>
        </w:tc>
      </w:tr>
      <w:tr w:rsidR="00AC7DDF" w:rsidRPr="00AC7DDF" w:rsidTr="00AC7DDF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196,6</w:t>
            </w:r>
          </w:p>
          <w:p w:rsidR="00AC7DDF" w:rsidRPr="00AC7DDF" w:rsidRDefault="00AC7DDF" w:rsidP="00A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  <w:p w:rsidR="00AC7DDF" w:rsidRPr="00AC7DDF" w:rsidRDefault="00AC7DDF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DF" w:rsidRPr="00AC7DDF" w:rsidRDefault="00AC7DDF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126,9</w:t>
            </w:r>
          </w:p>
        </w:tc>
      </w:tr>
      <w:tr w:rsidR="00AC7DDF" w:rsidRPr="00AC7DDF" w:rsidTr="00AC7DDF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мест лишения свободы, и граждан, осужденных к наказаниям, не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 для населения по вопросам противодействия терроризму;</w:t>
            </w:r>
          </w:p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 мероприятий по противодействию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DF" w:rsidRPr="00AC7DDF" w:rsidTr="00AC7DDF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F" w:rsidRPr="00AC7DDF" w:rsidRDefault="00AC7DDF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lastRenderedPageBreak/>
        <w:t>______________</w:t>
      </w:r>
    </w:p>
    <w:p w:rsidR="00503CDD" w:rsidRDefault="00503CDD" w:rsidP="00503CDD">
      <w:pPr>
        <w:pStyle w:val="a7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503CDD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A3A" w:rsidRDefault="004C0A3A">
      <w:r>
        <w:separator/>
      </w:r>
    </w:p>
  </w:endnote>
  <w:endnote w:type="continuationSeparator" w:id="0">
    <w:p w:rsidR="004C0A3A" w:rsidRDefault="004C0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A3A" w:rsidRDefault="004C0A3A">
      <w:r>
        <w:separator/>
      </w:r>
    </w:p>
  </w:footnote>
  <w:footnote w:type="continuationSeparator" w:id="0">
    <w:p w:rsidR="004C0A3A" w:rsidRDefault="004C0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6A0"/>
    <w:rsid w:val="00010457"/>
    <w:rsid w:val="00021230"/>
    <w:rsid w:val="00065260"/>
    <w:rsid w:val="000F4284"/>
    <w:rsid w:val="00124E36"/>
    <w:rsid w:val="00146833"/>
    <w:rsid w:val="00156965"/>
    <w:rsid w:val="001D61E1"/>
    <w:rsid w:val="00203B83"/>
    <w:rsid w:val="00262278"/>
    <w:rsid w:val="00296F3C"/>
    <w:rsid w:val="002A0487"/>
    <w:rsid w:val="002D620A"/>
    <w:rsid w:val="00300C0E"/>
    <w:rsid w:val="00310542"/>
    <w:rsid w:val="0038330C"/>
    <w:rsid w:val="003B6467"/>
    <w:rsid w:val="0040315B"/>
    <w:rsid w:val="0047290D"/>
    <w:rsid w:val="00476044"/>
    <w:rsid w:val="004825E2"/>
    <w:rsid w:val="00485A8C"/>
    <w:rsid w:val="004C0A3A"/>
    <w:rsid w:val="004F1ADB"/>
    <w:rsid w:val="00503CDD"/>
    <w:rsid w:val="006306E6"/>
    <w:rsid w:val="0069018F"/>
    <w:rsid w:val="006A361C"/>
    <w:rsid w:val="006E14A0"/>
    <w:rsid w:val="006F4705"/>
    <w:rsid w:val="00711AF2"/>
    <w:rsid w:val="008071C7"/>
    <w:rsid w:val="008111E8"/>
    <w:rsid w:val="008459A7"/>
    <w:rsid w:val="00866446"/>
    <w:rsid w:val="008B30BD"/>
    <w:rsid w:val="008C17AC"/>
    <w:rsid w:val="008E4E7C"/>
    <w:rsid w:val="00971C64"/>
    <w:rsid w:val="00997B18"/>
    <w:rsid w:val="009A225F"/>
    <w:rsid w:val="009C608C"/>
    <w:rsid w:val="00A97130"/>
    <w:rsid w:val="00AB36A0"/>
    <w:rsid w:val="00AC7DDF"/>
    <w:rsid w:val="00AD21DB"/>
    <w:rsid w:val="00AD3626"/>
    <w:rsid w:val="00B80078"/>
    <w:rsid w:val="00BD5F65"/>
    <w:rsid w:val="00C1122C"/>
    <w:rsid w:val="00C345A3"/>
    <w:rsid w:val="00CD1736"/>
    <w:rsid w:val="00CF3C9C"/>
    <w:rsid w:val="00CF6A7F"/>
    <w:rsid w:val="00D043E1"/>
    <w:rsid w:val="00D06F70"/>
    <w:rsid w:val="00D87543"/>
    <w:rsid w:val="00D93172"/>
    <w:rsid w:val="00DA6172"/>
    <w:rsid w:val="00DB7D9D"/>
    <w:rsid w:val="00DF12AF"/>
    <w:rsid w:val="00DF1305"/>
    <w:rsid w:val="00E618BD"/>
    <w:rsid w:val="00E6360F"/>
    <w:rsid w:val="00EF5E17"/>
    <w:rsid w:val="00F00E92"/>
    <w:rsid w:val="00F1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Админ</cp:lastModifiedBy>
  <cp:revision>2</cp:revision>
  <cp:lastPrinted>2016-06-29T13:29:00Z</cp:lastPrinted>
  <dcterms:created xsi:type="dcterms:W3CDTF">2016-07-12T06:33:00Z</dcterms:created>
  <dcterms:modified xsi:type="dcterms:W3CDTF">2016-07-12T06:33:00Z</dcterms:modified>
</cp:coreProperties>
</file>